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0349" w14:textId="501DF244" w:rsidR="0062612E" w:rsidRPr="0062612E" w:rsidRDefault="0062612E" w:rsidP="0062612E">
      <w:pPr>
        <w:pStyle w:val="Colloquytext"/>
        <w:rPr>
          <w:rFonts w:ascii="Times New Roman" w:hAnsi="Times New Roman" w:cs="Times New Roman"/>
          <w:b/>
          <w:bCs/>
          <w:color w:val="000000" w:themeColor="text1"/>
        </w:rPr>
      </w:pPr>
      <w:bookmarkStart w:id="0" w:name="_Hlk216248775"/>
      <w:r w:rsidRPr="0062612E">
        <w:rPr>
          <w:rFonts w:ascii="Times New Roman" w:hAnsi="Times New Roman" w:cs="Times New Roman"/>
          <w:b/>
          <w:bCs/>
          <w:color w:val="000000" w:themeColor="text1"/>
        </w:rPr>
        <w:t>Preliminary Jury Instructions—Criminal Case [From Benchbook 2.07</w:t>
      </w:r>
      <w:r w:rsidR="00604E80">
        <w:rPr>
          <w:rFonts w:ascii="Times New Roman" w:hAnsi="Times New Roman" w:cs="Times New Roman"/>
          <w:b/>
          <w:bCs/>
          <w:color w:val="000000" w:themeColor="text1"/>
        </w:rPr>
        <w:t>.A-H</w:t>
      </w:r>
      <w:r w:rsidRPr="0062612E">
        <w:rPr>
          <w:rFonts w:ascii="Times New Roman" w:hAnsi="Times New Roman" w:cs="Times New Roman"/>
          <w:b/>
          <w:bCs/>
          <w:color w:val="000000" w:themeColor="text1"/>
        </w:rPr>
        <w:t>]</w:t>
      </w:r>
      <w:bookmarkEnd w:id="0"/>
    </w:p>
    <w:p w14:paraId="6213F0A6" w14:textId="77777777" w:rsidR="0062612E" w:rsidRDefault="0062612E" w:rsidP="0062612E">
      <w:pPr>
        <w:pStyle w:val="Colloquytext"/>
        <w:rPr>
          <w:rFonts w:ascii="Times New Roman" w:hAnsi="Times New Roman" w:cs="Times New Roman"/>
          <w:color w:val="000000" w:themeColor="text1"/>
        </w:rPr>
      </w:pPr>
    </w:p>
    <w:p w14:paraId="1D7C49C9" w14:textId="77777777" w:rsidR="0062612E" w:rsidRDefault="0062612E" w:rsidP="0062612E">
      <w:pPr>
        <w:pStyle w:val="Colloquytext"/>
        <w:rPr>
          <w:rFonts w:ascii="Times New Roman" w:hAnsi="Times New Roman" w:cs="Times New Roman"/>
          <w:color w:val="000000" w:themeColor="text1"/>
        </w:rPr>
      </w:pPr>
    </w:p>
    <w:p w14:paraId="6AE82376" w14:textId="09F1D4C5"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Members of the jury: Now that you have been sworn, I will give you some preliminary instructions to guide you in your participation in the trial.</w:t>
      </w:r>
    </w:p>
    <w:p w14:paraId="66A556C8" w14:textId="77777777" w:rsidR="0062612E" w:rsidRPr="009D2686" w:rsidRDefault="0062612E" w:rsidP="0062612E">
      <w:pPr>
        <w:pStyle w:val="Heading3"/>
        <w:ind w:right="72"/>
        <w:rPr>
          <w:rStyle w:val="italic"/>
          <w:color w:val="000000" w:themeColor="text1"/>
        </w:rPr>
      </w:pPr>
      <w:r w:rsidRPr="009D2686">
        <w:rPr>
          <w:rStyle w:val="italic"/>
          <w:color w:val="000000" w:themeColor="text1"/>
        </w:rPr>
        <w:t>A. Duty of the Jury</w:t>
      </w:r>
    </w:p>
    <w:p w14:paraId="6FFF2CAA"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It will be your duty to find from the evidence what the facts are. You and you alone will be the judges of the facts. You will then have to apply to those facts the law as the court will give it to you. You must follow that law whether you agree with it or not.</w:t>
      </w:r>
    </w:p>
    <w:p w14:paraId="2B61792F"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Nothing the court may say or do </w:t>
      </w:r>
      <w:proofErr w:type="gramStart"/>
      <w:r w:rsidRPr="009D2686">
        <w:rPr>
          <w:rFonts w:ascii="Times New Roman" w:hAnsi="Times New Roman" w:cs="Times New Roman"/>
          <w:color w:val="000000" w:themeColor="text1"/>
        </w:rPr>
        <w:t>during the course of</w:t>
      </w:r>
      <w:proofErr w:type="gramEnd"/>
      <w:r w:rsidRPr="009D2686">
        <w:rPr>
          <w:rFonts w:ascii="Times New Roman" w:hAnsi="Times New Roman" w:cs="Times New Roman"/>
          <w:color w:val="000000" w:themeColor="text1"/>
        </w:rPr>
        <w:t xml:space="preserve"> the trial is intended to indicate, or should be taken by you as indicating, what your verdict should be.</w:t>
      </w:r>
    </w:p>
    <w:p w14:paraId="5572CAA0" w14:textId="77777777" w:rsidR="0062612E" w:rsidRPr="009D2686" w:rsidRDefault="0062612E" w:rsidP="0062612E">
      <w:pPr>
        <w:pStyle w:val="Heading3"/>
        <w:ind w:right="72"/>
        <w:rPr>
          <w:rStyle w:val="italic"/>
          <w:color w:val="000000" w:themeColor="text1"/>
        </w:rPr>
      </w:pPr>
      <w:r w:rsidRPr="009D2686">
        <w:rPr>
          <w:rStyle w:val="italic"/>
          <w:color w:val="000000" w:themeColor="text1"/>
        </w:rPr>
        <w:t>B. Evidence</w:t>
      </w:r>
    </w:p>
    <w:p w14:paraId="2FD45210"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The evidence from which you will find the facts will consist of the testimony of witnesses, documents and other things received into the record as exhibits, and any facts that the lawyers agree to or stipulate to or that the court may instruct you to find.</w:t>
      </w:r>
    </w:p>
    <w:p w14:paraId="7F5D05E7"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Certain things are not evidence and must not be considered by you. I will list them for you now.</w:t>
      </w:r>
    </w:p>
    <w:p w14:paraId="2EB863CF" w14:textId="77777777" w:rsidR="0062612E" w:rsidRPr="009D2686" w:rsidRDefault="0062612E" w:rsidP="0062612E">
      <w:pPr>
        <w:pStyle w:val="Colloquytextlist"/>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Statements, arguments, and questions by lawyers are not evidence.</w:t>
      </w:r>
    </w:p>
    <w:p w14:paraId="72D9BD76" w14:textId="77777777" w:rsidR="0062612E" w:rsidRPr="009D2686" w:rsidRDefault="0062612E" w:rsidP="0062612E">
      <w:pPr>
        <w:pStyle w:val="Colloquytextlist"/>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Objections to questions are not evidence. Lawyers have an obligation to their clients to make objections when they believe evidence being offered is improper under the rules of evidence. You should not be influenced by the objection or by the court’s ruling on it. If the objection is sustained, ignore the question. If it is overruled, treat the answer like any other. If you are instructed that some item of evidence is received for a limited purpose only, you must follow that instruction.</w:t>
      </w:r>
    </w:p>
    <w:p w14:paraId="264639BA" w14:textId="77777777" w:rsidR="0062612E" w:rsidRPr="009D2686" w:rsidRDefault="0062612E" w:rsidP="0062612E">
      <w:pPr>
        <w:pStyle w:val="Colloquytextlist"/>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Testimony that the court has excluded or told you to disregard is not evidence and must not be considered.</w:t>
      </w:r>
    </w:p>
    <w:p w14:paraId="6F2150BC" w14:textId="77777777" w:rsidR="0062612E" w:rsidRPr="009D2686" w:rsidRDefault="0062612E" w:rsidP="0062612E">
      <w:pPr>
        <w:pStyle w:val="Colloquytextlist"/>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 xml:space="preserve">Anything you may have seen or heard outside the courtroom is not evidence and must be disregarded. You are to decide the case solely on the evidence presented here in the courtroom. </w:t>
      </w:r>
    </w:p>
    <w:p w14:paraId="6C233707"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There are two kinds of evidence: direct and circumstantial. Direct evidence is direct proof of a fact, such as the testimony of an eyewitness. Circumstantial evidence is proof of facts from which you may infer or conclude that other facts exist. I will give you further instructions on these as well as other matters at the end of the case, but keep in mind that you may consider both kinds of evidence.</w:t>
      </w:r>
    </w:p>
    <w:p w14:paraId="1E02F5C4"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It will be up to you to decide which witnesses to believe, which witnesses not to believe, and how much of any witness’s testimony to accept or reject—you may believe everything a witness says, part of it, or none of it. I will give you some guidelines for determining the credibility of witnesses at the end of the case.</w:t>
      </w:r>
    </w:p>
    <w:p w14:paraId="729B1B2B" w14:textId="77777777" w:rsidR="0062612E" w:rsidRPr="009D2686" w:rsidRDefault="0062612E" w:rsidP="0062612E">
      <w:pPr>
        <w:pStyle w:val="Heading3"/>
        <w:ind w:right="72"/>
        <w:rPr>
          <w:rStyle w:val="italic"/>
          <w:color w:val="000000" w:themeColor="text1"/>
        </w:rPr>
      </w:pPr>
      <w:r w:rsidRPr="009D2686">
        <w:rPr>
          <w:rStyle w:val="italic"/>
          <w:color w:val="000000" w:themeColor="text1"/>
        </w:rPr>
        <w:t>C. Rules for Criminal Cases</w:t>
      </w:r>
    </w:p>
    <w:p w14:paraId="436E3EF3"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As you know, this is a criminal case. There are three basic rules about a criminal case that you must keep in mind.</w:t>
      </w:r>
    </w:p>
    <w:p w14:paraId="7771D3B4"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ab/>
        <w:t>First, the defendant is presumed innocent until proven guilty. The indictment brought by the government against the defendant is only an accusation, nothing more. It is not proof of guilt or anything else. The defendant therefore starts out with a clean slate.</w:t>
      </w:r>
    </w:p>
    <w:p w14:paraId="64D3A204"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Second, the burden of proof is on the government until the very end of the case. The defendant has no burden to prove their innocence, or to present any evidence, or to testify. Since the defendant has the right to remain silent, the law prohibits you from arriving at your verdict by considering that the defendant may not have testified.</w:t>
      </w:r>
    </w:p>
    <w:p w14:paraId="25FB5696"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Third, the government must prove the defendant’s guilt beyond a reasonable doubt. I will give you further instructions on this point later, but bear in mind that in this respect a criminal case is different from a civil case.</w:t>
      </w:r>
    </w:p>
    <w:p w14:paraId="363577E2" w14:textId="77777777" w:rsidR="0062612E" w:rsidRPr="009D2686" w:rsidRDefault="0062612E" w:rsidP="0062612E">
      <w:pPr>
        <w:pStyle w:val="Heading3"/>
        <w:ind w:right="72"/>
        <w:rPr>
          <w:rStyle w:val="italic"/>
          <w:color w:val="000000" w:themeColor="text1"/>
        </w:rPr>
      </w:pPr>
      <w:r w:rsidRPr="009D2686">
        <w:rPr>
          <w:rStyle w:val="italic"/>
          <w:color w:val="000000" w:themeColor="text1"/>
        </w:rPr>
        <w:t>D. Summary of Applicable Law</w:t>
      </w:r>
    </w:p>
    <w:p w14:paraId="3C44E634"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 xml:space="preserve">In this case the defendant is charged with ____________________. I will give you detailed instructions on the law at the end of the case, and those instructions will control your deliberations and decision. But </w:t>
      </w:r>
      <w:proofErr w:type="gramStart"/>
      <w:r w:rsidRPr="009D2686">
        <w:rPr>
          <w:rFonts w:ascii="Times New Roman" w:hAnsi="Times New Roman" w:cs="Times New Roman"/>
          <w:color w:val="000000" w:themeColor="text1"/>
        </w:rPr>
        <w:t>in order to</w:t>
      </w:r>
      <w:proofErr w:type="gramEnd"/>
      <w:r w:rsidRPr="009D2686">
        <w:rPr>
          <w:rFonts w:ascii="Times New Roman" w:hAnsi="Times New Roman" w:cs="Times New Roman"/>
          <w:color w:val="000000" w:themeColor="text1"/>
        </w:rPr>
        <w:t xml:space="preserve"> help you follow the evidence, I will now give you a brief summary of the elements of the offense that the government must prove to make its case.</w:t>
      </w:r>
    </w:p>
    <w:p w14:paraId="3A402F35" w14:textId="77777777" w:rsidR="0062612E" w:rsidRPr="009D2686" w:rsidRDefault="0062612E" w:rsidP="0062612E">
      <w:pPr>
        <w:ind w:right="72"/>
        <w:rPr>
          <w:rFonts w:ascii="Times New Roman" w:hAnsi="Times New Roman"/>
          <w:color w:val="000000" w:themeColor="text1"/>
        </w:rPr>
      </w:pPr>
      <w:r w:rsidRPr="009D2686">
        <w:rPr>
          <w:rFonts w:ascii="Times New Roman" w:hAnsi="Times New Roman"/>
          <w:color w:val="000000" w:themeColor="text1"/>
        </w:rPr>
        <w:t>[Summarize the elements of the offense.]</w:t>
      </w:r>
    </w:p>
    <w:p w14:paraId="4B5FE7AF" w14:textId="77777777" w:rsidR="0062612E" w:rsidRPr="009D2686" w:rsidRDefault="0062612E" w:rsidP="0062612E">
      <w:pPr>
        <w:pStyle w:val="Heading3"/>
        <w:ind w:right="72"/>
        <w:rPr>
          <w:rStyle w:val="italic"/>
          <w:color w:val="000000" w:themeColor="text1"/>
        </w:rPr>
      </w:pPr>
      <w:r w:rsidRPr="009D2686">
        <w:rPr>
          <w:rStyle w:val="italic"/>
          <w:color w:val="000000" w:themeColor="text1"/>
        </w:rPr>
        <w:t>E. Conduct of the Jury</w:t>
      </w:r>
    </w:p>
    <w:p w14:paraId="3947FFD6"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Now, some things to keep in mind about your conduct as jurors.</w:t>
      </w:r>
      <w:r w:rsidRPr="009D2686">
        <w:rPr>
          <w:rStyle w:val="FootnoteReference"/>
          <w:rFonts w:cs="Times New Roman"/>
          <w:color w:val="000000" w:themeColor="text1"/>
        </w:rPr>
        <w:footnoteReference w:id="1"/>
      </w:r>
      <w:r w:rsidRPr="009D2686">
        <w:rPr>
          <w:rFonts w:ascii="Times New Roman" w:hAnsi="Times New Roman" w:cs="Times New Roman"/>
          <w:color w:val="000000" w:themeColor="text1"/>
        </w:rPr>
        <w:t xml:space="preserve"> </w:t>
      </w:r>
    </w:p>
    <w:p w14:paraId="1A2E97BA"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The Sixth Amendment of our Constitution guarantees a trial by an impartial jury. This means that, as jurors, you must decide this case based solely on the evidence and law presented to you here in this courtroom. Until all the evidence and arguments have been </w:t>
      </w:r>
      <w:proofErr w:type="gramStart"/>
      <w:r w:rsidRPr="009D2686">
        <w:rPr>
          <w:rFonts w:ascii="Times New Roman" w:hAnsi="Times New Roman" w:cs="Times New Roman"/>
          <w:color w:val="000000" w:themeColor="text1"/>
        </w:rPr>
        <w:t>presented</w:t>
      </w:r>
      <w:proofErr w:type="gramEnd"/>
      <w:r w:rsidRPr="009D2686">
        <w:rPr>
          <w:rFonts w:ascii="Times New Roman" w:hAnsi="Times New Roman" w:cs="Times New Roman"/>
          <w:color w:val="000000" w:themeColor="text1"/>
        </w:rPr>
        <w:t xml:space="preserve"> and you begin to deliberate, you may not discuss this case with anyone, even your fellow jurors. After you start to deliberate, you may discuss the case, the evidence, and the law as it has been presented, but only with your fellow jurors. You cannot discuss it with anyone else until you have returned a </w:t>
      </w:r>
      <w:proofErr w:type="gramStart"/>
      <w:r w:rsidRPr="009D2686">
        <w:rPr>
          <w:rFonts w:ascii="Times New Roman" w:hAnsi="Times New Roman" w:cs="Times New Roman"/>
          <w:color w:val="000000" w:themeColor="text1"/>
        </w:rPr>
        <w:t>verdict</w:t>
      </w:r>
      <w:proofErr w:type="gramEnd"/>
      <w:r w:rsidRPr="009D2686">
        <w:rPr>
          <w:rFonts w:ascii="Times New Roman" w:hAnsi="Times New Roman" w:cs="Times New Roman"/>
          <w:color w:val="000000" w:themeColor="text1"/>
        </w:rPr>
        <w:t xml:space="preserve"> and the case has come to an end. I’ll now walk through some specific examples of what this means.</w:t>
      </w:r>
    </w:p>
    <w:p w14:paraId="087F6C07"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First, this means that, during the trial, you must not conduct any independent research about this case, or the matters, legal issues, individuals, or other entities involved in this case. Just as you must not search or review any traditional sources of information about this case (such as dictionaries, reference materials, or television news or entertainment programs), you also must not search the internet or any other electronic resources for information about this case or the witnesses or parties involved in it. The bottom line for the important work you will be doing is that you must base your verdict only on the evidence presented in this courtroom, along with instructions on the law that I will provide. </w:t>
      </w:r>
    </w:p>
    <w:p w14:paraId="1B5FF787"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r>
      <w:bookmarkStart w:id="2" w:name="_Hlk187649675"/>
      <w:r w:rsidRPr="009D2686">
        <w:rPr>
          <w:rFonts w:ascii="Times New Roman" w:hAnsi="Times New Roman" w:cs="Times New Roman"/>
          <w:color w:val="000000" w:themeColor="text1"/>
        </w:rPr>
        <w:t xml:space="preserve">Second, this means that you must not communicate about the case with anyone, including your family and friends, until deliberations, when you will discuss the case with only other jurors. </w:t>
      </w:r>
      <w:r w:rsidRPr="009D2686">
        <w:rPr>
          <w:rFonts w:ascii="Times New Roman" w:hAnsi="Times New Roman" w:cs="Times New Roman"/>
          <w:color w:val="000000" w:themeColor="text1"/>
        </w:rPr>
        <w:lastRenderedPageBreak/>
        <w:t>During deliberations, you must continue not to communicate about the case with anyone else. Most of us use smartphones, tablets, or computers in our daily lives to access the internet, for information, and to participate in social media platforms. To remain impartial jurors, however, you must not communicate with anyone about this case, whether in person, in writing, or through email, text messaging, blogs, or social media websites and apps (like X (formerly Twitter), Facebook, Instagram, LinkedIn, YouTube, WhatsApp, and Snapchat).</w:t>
      </w:r>
      <w:bookmarkEnd w:id="2"/>
      <w:r w:rsidRPr="009D2686">
        <w:rPr>
          <w:rFonts w:ascii="Times New Roman" w:hAnsi="Times New Roman" w:cs="Times New Roman"/>
          <w:color w:val="000000" w:themeColor="text1"/>
        </w:rPr>
        <w:t xml:space="preserve"> </w:t>
      </w:r>
    </w:p>
    <w:p w14:paraId="4BA7A53F" w14:textId="77777777" w:rsidR="0062612E" w:rsidRPr="00247B0C" w:rsidRDefault="0062612E" w:rsidP="0062612E">
      <w:pPr>
        <w:pStyle w:val="Colloquytext"/>
        <w:rPr>
          <w:rFonts w:ascii="Times New Roman" w:hAnsi="Times New Roman" w:cs="Times New Roman"/>
          <w:color w:val="000000" w:themeColor="text1"/>
          <w:sz w:val="22"/>
          <w:szCs w:val="22"/>
        </w:rPr>
      </w:pPr>
      <w:r w:rsidRPr="00247B0C">
        <w:rPr>
          <w:rFonts w:ascii="Times New Roman" w:hAnsi="Times New Roman" w:cs="Times New Roman"/>
          <w:color w:val="000000" w:themeColor="text1"/>
          <w:sz w:val="22"/>
          <w:szCs w:val="22"/>
        </w:rPr>
        <w:t xml:space="preserve">[• Consider reading here the suggested insert about </w:t>
      </w:r>
      <w:r w:rsidRPr="00247B0C">
        <w:rPr>
          <w:rStyle w:val="italic"/>
          <w:rFonts w:cs="Times New Roman"/>
          <w:color w:val="000000" w:themeColor="text1"/>
          <w:sz w:val="22"/>
          <w:szCs w:val="22"/>
        </w:rPr>
        <w:t>why</w:t>
      </w:r>
      <w:r w:rsidRPr="00247B0C">
        <w:rPr>
          <w:rFonts w:ascii="Times New Roman" w:hAnsi="Times New Roman" w:cs="Times New Roman"/>
          <w:color w:val="000000" w:themeColor="text1"/>
          <w:sz w:val="22"/>
          <w:szCs w:val="22"/>
        </w:rPr>
        <w:t xml:space="preserve"> jurors should not do their own research that is provided at the end of this section, after paragraph H, </w:t>
      </w:r>
      <w:r w:rsidRPr="00247B0C">
        <w:rPr>
          <w:rStyle w:val="italic"/>
          <w:rFonts w:cs="Times New Roman"/>
          <w:color w:val="000000" w:themeColor="text1"/>
          <w:sz w:val="22"/>
          <w:szCs w:val="22"/>
        </w:rPr>
        <w:t>infra</w:t>
      </w:r>
      <w:r w:rsidRPr="00247B0C">
        <w:rPr>
          <w:rFonts w:ascii="Times New Roman" w:hAnsi="Times New Roman" w:cs="Times New Roman"/>
          <w:color w:val="000000" w:themeColor="text1"/>
          <w:sz w:val="22"/>
          <w:szCs w:val="22"/>
        </w:rPr>
        <w:t>.]</w:t>
      </w:r>
    </w:p>
    <w:p w14:paraId="797B4C5B"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Please note that these restrictions apply to </w:t>
      </w:r>
      <w:r w:rsidRPr="009D2686">
        <w:rPr>
          <w:rStyle w:val="italic"/>
          <w:rFonts w:cs="Times New Roman"/>
          <w:color w:val="000000" w:themeColor="text1"/>
        </w:rPr>
        <w:t xml:space="preserve">all </w:t>
      </w:r>
      <w:r w:rsidRPr="009D2686">
        <w:rPr>
          <w:rFonts w:ascii="Times New Roman" w:hAnsi="Times New Roman" w:cs="Times New Roman"/>
          <w:color w:val="000000" w:themeColor="text1"/>
        </w:rPr>
        <w:t xml:space="preserve">kinds of communications about this case, even those that are not directed at any </w:t>
      </w:r>
      <w:proofErr w:type="gramStart"/>
      <w:r w:rsidRPr="009D2686">
        <w:rPr>
          <w:rFonts w:ascii="Times New Roman" w:hAnsi="Times New Roman" w:cs="Times New Roman"/>
          <w:color w:val="000000" w:themeColor="text1"/>
        </w:rPr>
        <w:t>particular person</w:t>
      </w:r>
      <w:proofErr w:type="gramEnd"/>
      <w:r w:rsidRPr="009D2686">
        <w:rPr>
          <w:rFonts w:ascii="Times New Roman" w:hAnsi="Times New Roman" w:cs="Times New Roman"/>
          <w:color w:val="000000" w:themeColor="text1"/>
        </w:rPr>
        <w:t xml:space="preserve"> or group. Communications like blog posts or tweets can be shared to an ever-expanding circle of people and can have an unexpected impact on this trial. For example, a post you make to your social media account might be viewable by a witness who is not supposed to know what has happened in this courtroom before the witness has testified. For these reasons, you must inform me immediately if you learn about or share any information about the case outside of this courtroom, even if by accident, or if you discover that another juror has done so. </w:t>
      </w:r>
    </w:p>
    <w:p w14:paraId="0A2D4389"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Finally, a word about an even newer challenge for trials such as this one—persons, entities, and even foreign governments may seek to manipulate your opinions, or your impartiality during deliberations, using the communications I’ve already discussed or using fake social media accounts. But these misinformation efforts might also be undertaken through targeted advertising online or in social media. Many of the tools you use to access email, social media, and the internet display third-party notifications, pop-ups, or ads while you are using them. These communications may be intended to persuade you or your community on an </w:t>
      </w:r>
      <w:proofErr w:type="gramStart"/>
      <w:r w:rsidRPr="009D2686">
        <w:rPr>
          <w:rFonts w:ascii="Times New Roman" w:hAnsi="Times New Roman" w:cs="Times New Roman"/>
          <w:color w:val="000000" w:themeColor="text1"/>
        </w:rPr>
        <w:t>issue, and</w:t>
      </w:r>
      <w:proofErr w:type="gramEnd"/>
      <w:r w:rsidRPr="009D2686">
        <w:rPr>
          <w:rFonts w:ascii="Times New Roman" w:hAnsi="Times New Roman" w:cs="Times New Roman"/>
          <w:color w:val="000000" w:themeColor="text1"/>
        </w:rPr>
        <w:t xml:space="preserve"> could influence you in your service as a juror in this case. For example, while accessing your email, social media, or the internet, through no fault of your own, you might see popups containing information about this case or the matters, legal principles, individuals, or other entities involved in this case. Please be aware of this possibility, ignore any pop-ups or ads that might be relevant to what we are doing here, and certainly do not click through to learn more if these notifications or ads appear. If this happens, you must let me know. </w:t>
      </w:r>
    </w:p>
    <w:p w14:paraId="058497A5"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Because it is so important to the parties’ rights that you decide this case based solely on the evidence and my instructions on the law, at the beginning of each day, I may ask you whether you have learned about or shared any information outside of this courtroom. (I like to let the jury know in advance that I may be doing that, so you are prepared for the question.) </w:t>
      </w:r>
    </w:p>
    <w:p w14:paraId="4ABA433F"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Remember that you must not form any opinion until all the evidence is in. Keep an open mind until you start your deliberations at the end of the case.</w:t>
      </w:r>
    </w:p>
    <w:p w14:paraId="66B2AB77" w14:textId="77777777" w:rsidR="0062612E" w:rsidRPr="009D2686" w:rsidRDefault="0062612E" w:rsidP="0062612E">
      <w:pPr>
        <w:spacing w:before="120" w:after="80"/>
        <w:ind w:right="72"/>
        <w:rPr>
          <w:rFonts w:ascii="Times New Roman" w:hAnsi="Times New Roman"/>
          <w:color w:val="000000" w:themeColor="text1"/>
        </w:rPr>
      </w:pPr>
      <w:r w:rsidRPr="009D2686">
        <w:rPr>
          <w:rFonts w:ascii="Times New Roman" w:hAnsi="Times New Roman"/>
          <w:color w:val="000000" w:themeColor="text1"/>
        </w:rPr>
        <w:t xml:space="preserve"> [If the court decides to allow note taking, state:]</w:t>
      </w:r>
    </w:p>
    <w:p w14:paraId="6F68DD6D"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If you want to take notes </w:t>
      </w:r>
      <w:proofErr w:type="gramStart"/>
      <w:r w:rsidRPr="009D2686">
        <w:rPr>
          <w:rFonts w:ascii="Times New Roman" w:hAnsi="Times New Roman" w:cs="Times New Roman"/>
          <w:color w:val="000000" w:themeColor="text1"/>
        </w:rPr>
        <w:t>during the course of</w:t>
      </w:r>
      <w:proofErr w:type="gramEnd"/>
      <w:r w:rsidRPr="009D2686">
        <w:rPr>
          <w:rFonts w:ascii="Times New Roman" w:hAnsi="Times New Roman" w:cs="Times New Roman"/>
          <w:color w:val="000000" w:themeColor="text1"/>
        </w:rPr>
        <w:t xml:space="preserve"> the trial, you may do so. However, it is difficult to take detailed notes and pay attention to what the witnesses are saying at the same time. If you do take notes, be sure that your note taking does not interfere with your listening to and considering </w:t>
      </w:r>
      <w:proofErr w:type="gramStart"/>
      <w:r w:rsidRPr="009D2686">
        <w:rPr>
          <w:rFonts w:ascii="Times New Roman" w:hAnsi="Times New Roman" w:cs="Times New Roman"/>
          <w:color w:val="000000" w:themeColor="text1"/>
        </w:rPr>
        <w:t>all of</w:t>
      </w:r>
      <w:proofErr w:type="gramEnd"/>
      <w:r w:rsidRPr="009D2686">
        <w:rPr>
          <w:rFonts w:ascii="Times New Roman" w:hAnsi="Times New Roman" w:cs="Times New Roman"/>
          <w:color w:val="000000" w:themeColor="text1"/>
        </w:rPr>
        <w:t xml:space="preserve"> the evidence. Also, if you do take notes, do not discuss them with anyone before you begin your deliberations. Do not take your notes with you at the end of the day—be sure to leave them in the jury room.</w:t>
      </w:r>
    </w:p>
    <w:p w14:paraId="25039FB3"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If you choose </w:t>
      </w:r>
      <w:r w:rsidRPr="009D2686">
        <w:rPr>
          <w:rStyle w:val="italic"/>
          <w:rFonts w:cs="Times New Roman"/>
          <w:color w:val="000000" w:themeColor="text1"/>
        </w:rPr>
        <w:t>not</w:t>
      </w:r>
      <w:r w:rsidRPr="009D2686">
        <w:rPr>
          <w:rFonts w:ascii="Times New Roman" w:hAnsi="Times New Roman" w:cs="Times New Roman"/>
          <w:color w:val="000000" w:themeColor="text1"/>
        </w:rPr>
        <w:t xml:space="preserve"> to take notes, remember that it is your own individual responsibility to listen carefully to the evidence. You cannot give this responsibility to someone who is taking notes. We depend on the judgment of all members of the jury; you all must remember the evidence in this case.</w:t>
      </w:r>
    </w:p>
    <w:p w14:paraId="17126EAC" w14:textId="77777777" w:rsidR="0062612E" w:rsidRPr="00247B0C" w:rsidRDefault="0062612E" w:rsidP="0062612E">
      <w:pPr>
        <w:pStyle w:val="Colloquytext"/>
        <w:rPr>
          <w:rFonts w:ascii="Times New Roman" w:hAnsi="Times New Roman" w:cs="Times New Roman"/>
          <w:color w:val="000000" w:themeColor="text1"/>
          <w:sz w:val="22"/>
          <w:szCs w:val="22"/>
        </w:rPr>
      </w:pPr>
      <w:r w:rsidRPr="00247B0C">
        <w:rPr>
          <w:rFonts w:ascii="Times New Roman" w:hAnsi="Times New Roman" w:cs="Times New Roman"/>
          <w:color w:val="000000" w:themeColor="text1"/>
          <w:sz w:val="22"/>
          <w:szCs w:val="22"/>
        </w:rPr>
        <w:lastRenderedPageBreak/>
        <w:t xml:space="preserve"> [If the court decides to allow jurors to ask questions during the trial, see </w:t>
      </w:r>
      <w:r w:rsidRPr="00247B0C">
        <w:rPr>
          <w:rStyle w:val="italic"/>
          <w:rFonts w:cs="Times New Roman"/>
          <w:color w:val="000000" w:themeColor="text1"/>
          <w:sz w:val="22"/>
          <w:szCs w:val="22"/>
        </w:rPr>
        <w:t>infra</w:t>
      </w:r>
      <w:r w:rsidRPr="00247B0C">
        <w:rPr>
          <w:rFonts w:ascii="Times New Roman" w:hAnsi="Times New Roman" w:cs="Times New Roman"/>
          <w:color w:val="000000" w:themeColor="text1"/>
          <w:sz w:val="22"/>
          <w:szCs w:val="22"/>
        </w:rPr>
        <w:t xml:space="preserve"> section 5.07: Juror Questions During Trial, for instructions and cautions.]</w:t>
      </w:r>
    </w:p>
    <w:p w14:paraId="392C6B64" w14:textId="77777777" w:rsidR="0062612E" w:rsidRPr="009D2686" w:rsidRDefault="0062612E" w:rsidP="0062612E">
      <w:pPr>
        <w:pStyle w:val="Heading3"/>
        <w:ind w:right="72"/>
        <w:rPr>
          <w:rStyle w:val="italic"/>
          <w:color w:val="000000" w:themeColor="text1"/>
        </w:rPr>
      </w:pPr>
      <w:r w:rsidRPr="009D2686">
        <w:rPr>
          <w:rStyle w:val="italic"/>
          <w:color w:val="000000" w:themeColor="text1"/>
        </w:rPr>
        <w:t>F. Course of the Trial</w:t>
      </w:r>
    </w:p>
    <w:p w14:paraId="7820A9ED"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The trial will now begin. First, the government will make an opening statement, which is simply an outline to help you understand the evidence as it comes in. Next, the defendant’s attorney may, but does not have to, make an opening statement. Opening statements are neither evidence nor arguments.</w:t>
      </w:r>
    </w:p>
    <w:p w14:paraId="1823D7B2"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The government will then present its witnesses, and counsel for the defendant may cross-examine them. Following the government’s case, the defendant may, if he [she] wishes, present witnesses whom the government may cross-examine. After all the evidence is in, the attorneys will present their closing arguments to summarize and interpret the evidence for you, and the court will instruct you on the law.</w:t>
      </w:r>
      <w:r w:rsidRPr="009D2686">
        <w:rPr>
          <w:rStyle w:val="FootnoteReference"/>
          <w:rFonts w:cs="Times New Roman"/>
          <w:color w:val="000000" w:themeColor="text1"/>
        </w:rPr>
        <w:footnoteReference w:id="2"/>
      </w:r>
      <w:r w:rsidRPr="009D2686">
        <w:rPr>
          <w:rStyle w:val="FootnoteReference"/>
          <w:rFonts w:cs="Times New Roman"/>
          <w:color w:val="000000" w:themeColor="text1"/>
        </w:rPr>
        <w:t xml:space="preserve"> </w:t>
      </w:r>
      <w:r w:rsidRPr="009D2686">
        <w:rPr>
          <w:rFonts w:ascii="Times New Roman" w:hAnsi="Times New Roman" w:cs="Times New Roman"/>
          <w:color w:val="000000" w:themeColor="text1"/>
        </w:rPr>
        <w:t>After that, you will retire to deliberate on your verdict.</w:t>
      </w:r>
    </w:p>
    <w:p w14:paraId="32167F0A" w14:textId="77777777" w:rsidR="0062612E" w:rsidRPr="009D2686" w:rsidRDefault="0062612E" w:rsidP="0062612E">
      <w:pPr>
        <w:pStyle w:val="Colloquytext"/>
        <w:spacing w:before="200" w:after="60"/>
        <w:rPr>
          <w:rFonts w:ascii="Times New Roman" w:hAnsi="Times New Roman" w:cs="Times New Roman"/>
          <w:color w:val="000000" w:themeColor="text1"/>
        </w:rPr>
      </w:pPr>
      <w:r w:rsidRPr="009D2686">
        <w:rPr>
          <w:rStyle w:val="italic"/>
          <w:rFonts w:cs="Times New Roman"/>
          <w:color w:val="000000" w:themeColor="text1"/>
        </w:rPr>
        <w:t>G. At the End of Each Day of the Case</w:t>
      </w:r>
      <w:r w:rsidRPr="009D2686">
        <w:rPr>
          <w:rStyle w:val="FootnoteReference"/>
          <w:rFonts w:cs="Times New Roman"/>
          <w:color w:val="000000" w:themeColor="text1"/>
        </w:rPr>
        <w:footnoteReference w:id="3"/>
      </w:r>
    </w:p>
    <w:p w14:paraId="24145F07" w14:textId="77777777" w:rsidR="0062612E" w:rsidRPr="009D2686" w:rsidRDefault="0062612E" w:rsidP="0062612E">
      <w:pPr>
        <w:pStyle w:val="Colloquytext"/>
        <w:rPr>
          <w:rFonts w:ascii="Times New Roman" w:hAnsi="Times New Roman" w:cs="Times New Roman"/>
          <w:b/>
          <w:bCs/>
          <w:color w:val="000000" w:themeColor="text1"/>
        </w:rPr>
      </w:pPr>
      <w:r w:rsidRPr="009D2686">
        <w:rPr>
          <w:rFonts w:ascii="Times New Roman" w:hAnsi="Times New Roman" w:cs="Times New Roman"/>
          <w:b/>
          <w:bCs/>
          <w:color w:val="000000" w:themeColor="text1"/>
        </w:rPr>
        <w:tab/>
      </w:r>
      <w:r w:rsidRPr="009D2686">
        <w:rPr>
          <w:rFonts w:ascii="Times New Roman" w:hAnsi="Times New Roman" w:cs="Times New Roman"/>
          <w:color w:val="000000" w:themeColor="text1"/>
        </w:rPr>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and information such as television and newspapers. You also must not communicate with anyone, in any way, about this case. And you must ignore any information about the case that you might see while browsing the internet or your social media feeds. </w:t>
      </w:r>
    </w:p>
    <w:p w14:paraId="3C8E5274" w14:textId="77777777" w:rsidR="0062612E" w:rsidRPr="009D2686" w:rsidRDefault="0062612E" w:rsidP="0062612E">
      <w:pPr>
        <w:pStyle w:val="Colloquytext"/>
        <w:spacing w:before="200" w:after="60"/>
        <w:rPr>
          <w:rFonts w:ascii="Times New Roman" w:hAnsi="Times New Roman" w:cs="Times New Roman"/>
          <w:color w:val="000000" w:themeColor="text1"/>
        </w:rPr>
      </w:pPr>
      <w:r w:rsidRPr="009D2686">
        <w:rPr>
          <w:rStyle w:val="italic"/>
          <w:rFonts w:cs="Times New Roman"/>
          <w:color w:val="000000" w:themeColor="text1"/>
        </w:rPr>
        <w:t>H. At the Beginning of Each Day of the Case</w:t>
      </w:r>
      <w:r w:rsidRPr="009D2686">
        <w:rPr>
          <w:rStyle w:val="FootnoteReference"/>
          <w:rFonts w:cs="Times New Roman"/>
          <w:color w:val="000000" w:themeColor="text1"/>
        </w:rPr>
        <w:footnoteReference w:id="4"/>
      </w:r>
    </w:p>
    <w:p w14:paraId="3AFE0DD9"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As I reminded you last night and continue to emphasize to you today, it is important that you decide this case based solely on the evidence and the law presented here. </w:t>
      </w:r>
      <w:proofErr w:type="gramStart"/>
      <w:r w:rsidRPr="009D2686">
        <w:rPr>
          <w:rFonts w:ascii="Times New Roman" w:hAnsi="Times New Roman" w:cs="Times New Roman"/>
          <w:color w:val="000000" w:themeColor="text1"/>
        </w:rPr>
        <w:t>So</w:t>
      </w:r>
      <w:proofErr w:type="gramEnd"/>
      <w:r w:rsidRPr="009D2686">
        <w:rPr>
          <w:rFonts w:ascii="Times New Roman" w:hAnsi="Times New Roman" w:cs="Times New Roman"/>
          <w:color w:val="000000" w:themeColor="text1"/>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3F661247"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If you think you might have done so, please let me know now by raising your hand. [Wait for a show of hands]. I see no raised hands; however, if you would prefer to talk to a member of the court’s staff privately in response to this question, please do so at the next break. Thank you for your careful adherence to my instructions.</w:t>
      </w:r>
    </w:p>
    <w:p w14:paraId="49D7FC78" w14:textId="77777777" w:rsidR="0062612E" w:rsidRPr="00B37C46" w:rsidRDefault="0062612E" w:rsidP="0062612E">
      <w:pPr>
        <w:pStyle w:val="Colloquytext"/>
        <w:spacing w:after="60"/>
        <w:rPr>
          <w:rFonts w:ascii="Times New Roman" w:hAnsi="Times New Roman" w:cs="Times New Roman"/>
          <w:b/>
          <w:bCs/>
          <w:color w:val="000000" w:themeColor="text1"/>
        </w:rPr>
      </w:pPr>
      <w:r w:rsidRPr="00B37C46">
        <w:rPr>
          <w:rFonts w:ascii="Times New Roman" w:hAnsi="Times New Roman" w:cs="Times New Roman"/>
          <w:b/>
          <w:bCs/>
          <w:color w:val="000000" w:themeColor="text1"/>
        </w:rPr>
        <w:t xml:space="preserve">• Suggested instruction to explain why jurors should not do their own research, to include in paragraph E. Conduct of the Jury, </w:t>
      </w:r>
      <w:r w:rsidRPr="00B37C46">
        <w:rPr>
          <w:rStyle w:val="italic"/>
          <w:rFonts w:cs="Times New Roman"/>
          <w:b/>
          <w:bCs/>
          <w:color w:val="000000" w:themeColor="text1"/>
        </w:rPr>
        <w:t>supra</w:t>
      </w:r>
      <w:r w:rsidRPr="00B37C46">
        <w:rPr>
          <w:rFonts w:ascii="Times New Roman" w:hAnsi="Times New Roman" w:cs="Times New Roman"/>
          <w:b/>
          <w:bCs/>
          <w:color w:val="000000" w:themeColor="text1"/>
        </w:rPr>
        <w:t>:</w:t>
      </w:r>
    </w:p>
    <w:p w14:paraId="7DFD56CA" w14:textId="77777777" w:rsidR="0062612E" w:rsidRPr="009D2686" w:rsidRDefault="0062612E" w:rsidP="0062612E">
      <w:pPr>
        <w:pStyle w:val="Colloquytext"/>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The parties have a right to have this case decided only on evidence they know about and that has been presented here in court. If you do some research, investigation, or experiment that we don’t know about, then your verdict may be influenced by inaccurate, incomplete, or misleading information that has not been tested by the trial process. The information you will see and hear in this courtroom, on the other hand, </w:t>
      </w:r>
      <w:proofErr w:type="gramStart"/>
      <w:r w:rsidRPr="009D2686">
        <w:rPr>
          <w:rFonts w:ascii="Times New Roman" w:hAnsi="Times New Roman" w:cs="Times New Roman"/>
          <w:color w:val="000000" w:themeColor="text1"/>
        </w:rPr>
        <w:t>has to</w:t>
      </w:r>
      <w:proofErr w:type="gramEnd"/>
      <w:r w:rsidRPr="009D2686">
        <w:rPr>
          <w:rFonts w:ascii="Times New Roman" w:hAnsi="Times New Roman" w:cs="Times New Roman"/>
          <w:color w:val="000000" w:themeColor="text1"/>
        </w:rPr>
        <w:t xml:space="preserve"> meet rigorous standards for truthfulness and reliability. We have rules of evidence that are designed to “ascertain the truth and secure a just </w:t>
      </w:r>
      <w:r w:rsidRPr="009D2686">
        <w:rPr>
          <w:rFonts w:ascii="Times New Roman" w:hAnsi="Times New Roman" w:cs="Times New Roman"/>
          <w:color w:val="000000" w:themeColor="text1"/>
        </w:rPr>
        <w:lastRenderedPageBreak/>
        <w:t xml:space="preserve">determination.” Witnesses are sworn to tell the truth and may be punished for perjury if they do not. Experts must be qualified, evidence must be authenticated, and each party </w:t>
      </w:r>
      <w:proofErr w:type="gramStart"/>
      <w:r w:rsidRPr="009D2686">
        <w:rPr>
          <w:rFonts w:ascii="Times New Roman" w:hAnsi="Times New Roman" w:cs="Times New Roman"/>
          <w:color w:val="000000" w:themeColor="text1"/>
        </w:rPr>
        <w:t>has the opportunity to</w:t>
      </w:r>
      <w:proofErr w:type="gramEnd"/>
      <w:r w:rsidRPr="009D2686">
        <w:rPr>
          <w:rFonts w:ascii="Times New Roman" w:hAnsi="Times New Roman" w:cs="Times New Roman"/>
          <w:color w:val="000000" w:themeColor="text1"/>
        </w:rPr>
        <w:t xml:space="preserve"> challenge the other’s claims and evidence. What you might see on the internet or learn from some other news source or social media has few, if any, of these measures of trustworthiness. This includes anything said or written by the parties in this case outside of the courtroom, before or during the trial. Any such statements or writings are not made under oath, are not subject to cross-examination, verification, or the rules of evidence, may even be intentionally untruthful, and must not be considered during your deliberations. </w:t>
      </w:r>
    </w:p>
    <w:p w14:paraId="6E0DEB2A" w14:textId="7AF7835B" w:rsidR="00F43867" w:rsidRPr="0062612E" w:rsidRDefault="0062612E" w:rsidP="0062612E">
      <w:pPr>
        <w:rPr>
          <w:sz w:val="24"/>
          <w:szCs w:val="24"/>
        </w:rPr>
      </w:pPr>
      <w:r w:rsidRPr="009D2686">
        <w:rPr>
          <w:rFonts w:ascii="Times New Roman" w:hAnsi="Times New Roman"/>
          <w:color w:val="000000" w:themeColor="text1"/>
        </w:rPr>
        <w:tab/>
      </w:r>
      <w:r w:rsidRPr="0062612E">
        <w:rPr>
          <w:rFonts w:ascii="Times New Roman" w:hAnsi="Times New Roman"/>
          <w:color w:val="000000" w:themeColor="text1"/>
          <w:sz w:val="24"/>
          <w:szCs w:val="24"/>
        </w:rPr>
        <w:t>If you decide a case based on information not presented in court, you will have denied the parties a fair trial in accordance with the rules of this country and you will have done an injustice. The parties understand what evidence I will allow during the trial before the trial starts and they have worked hard to prepare for trial, including addressing how this evidence may affect their case. If you do outside research, the parties will have no idea what you have found and will have no ability to help you to properly assess this information. That removes the level playing field that the parties and society expect during a trial. It is very important that you abide by these rules. Failure to follow these instructions could result in an unjust verdict or the case having to be retried.</w:t>
      </w:r>
    </w:p>
    <w:sectPr w:rsidR="00F43867" w:rsidRPr="006261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D79E" w14:textId="77777777" w:rsidR="006C482C" w:rsidRDefault="006C482C" w:rsidP="0062612E">
      <w:pPr>
        <w:spacing w:after="0" w:line="240" w:lineRule="auto"/>
      </w:pPr>
      <w:r>
        <w:separator/>
      </w:r>
    </w:p>
  </w:endnote>
  <w:endnote w:type="continuationSeparator" w:id="0">
    <w:p w14:paraId="5F1C6A45" w14:textId="77777777" w:rsidR="006C482C" w:rsidRDefault="006C482C" w:rsidP="0062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TC Legacy Sans Medium">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885911"/>
      <w:docPartObj>
        <w:docPartGallery w:val="Page Numbers (Bottom of Page)"/>
        <w:docPartUnique/>
      </w:docPartObj>
    </w:sdtPr>
    <w:sdtEndPr>
      <w:rPr>
        <w:noProof/>
      </w:rPr>
    </w:sdtEndPr>
    <w:sdtContent>
      <w:p w14:paraId="4D7B6B04" w14:textId="39B3193C" w:rsidR="00C25DA8" w:rsidRDefault="00C25D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2A273" w14:textId="77777777" w:rsidR="00C25DA8" w:rsidRDefault="00C2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D76E" w14:textId="77777777" w:rsidR="006C482C" w:rsidRDefault="006C482C" w:rsidP="0062612E">
      <w:pPr>
        <w:spacing w:after="0" w:line="240" w:lineRule="auto"/>
      </w:pPr>
      <w:r>
        <w:separator/>
      </w:r>
    </w:p>
  </w:footnote>
  <w:footnote w:type="continuationSeparator" w:id="0">
    <w:p w14:paraId="77260362" w14:textId="77777777" w:rsidR="006C482C" w:rsidRDefault="006C482C" w:rsidP="0062612E">
      <w:pPr>
        <w:spacing w:after="0" w:line="240" w:lineRule="auto"/>
      </w:pPr>
      <w:r>
        <w:continuationSeparator/>
      </w:r>
    </w:p>
  </w:footnote>
  <w:footnote w:id="1">
    <w:p w14:paraId="0477438E" w14:textId="442761AD" w:rsidR="0062612E" w:rsidRPr="00093628" w:rsidRDefault="0062612E" w:rsidP="0062612E">
      <w:pPr>
        <w:pStyle w:val="footnotesnew"/>
        <w:rPr>
          <w:rFonts w:cs="Times New Roman"/>
          <w:iCs/>
          <w:color w:val="FF0000"/>
          <w:u w:val="single"/>
        </w:rPr>
      </w:pPr>
      <w:r w:rsidRPr="00F25EDB">
        <w:rPr>
          <w:rFonts w:cs="Times New Roman"/>
          <w:color w:val="000000" w:themeColor="text1"/>
          <w:vertAlign w:val="superscript"/>
        </w:rPr>
        <w:footnoteRef/>
      </w:r>
      <w:r w:rsidRPr="009D2686">
        <w:rPr>
          <w:rFonts w:cs="Times New Roman"/>
          <w:color w:val="000000" w:themeColor="text1"/>
        </w:rPr>
        <w:t xml:space="preserve"> The following instruction is from </w:t>
      </w:r>
      <w:bookmarkStart w:id="1" w:name="_Hlk187649914"/>
      <w:r w:rsidRPr="009D2686">
        <w:rPr>
          <w:rFonts w:cs="Times New Roman"/>
          <w:color w:val="000000" w:themeColor="text1"/>
        </w:rPr>
        <w:t>the “</w:t>
      </w:r>
      <w:r w:rsidRPr="009D2686">
        <w:rPr>
          <w:rFonts w:cs="Times New Roman"/>
          <w:bCs/>
          <w:color w:val="000000" w:themeColor="text1"/>
        </w:rPr>
        <w:t>Proposed Model Jury Instructions: The Use of Electronic Technology to Learn or Communicate about a Case,</w:t>
      </w:r>
      <w:r w:rsidRPr="009D2686">
        <w:rPr>
          <w:rFonts w:cs="Times New Roman"/>
          <w:b/>
          <w:bCs/>
          <w:color w:val="000000" w:themeColor="text1"/>
        </w:rPr>
        <w:t xml:space="preserve">” </w:t>
      </w:r>
      <w:r w:rsidRPr="009D2686">
        <w:rPr>
          <w:rFonts w:cs="Times New Roman"/>
          <w:color w:val="000000" w:themeColor="text1"/>
        </w:rPr>
        <w:t xml:space="preserve">prepared by the Judicial Conference Committee on Court Administration and Case Management (Updated June 2020). </w:t>
      </w:r>
      <w:r w:rsidRPr="009D2686">
        <w:rPr>
          <w:rStyle w:val="italic"/>
          <w:rFonts w:cs="Times New Roman"/>
          <w:color w:val="000000" w:themeColor="text1"/>
        </w:rPr>
        <w:t>See also</w:t>
      </w:r>
      <w:r w:rsidRPr="009D2686">
        <w:rPr>
          <w:rFonts w:cs="Times New Roman"/>
          <w:color w:val="000000" w:themeColor="text1"/>
        </w:rPr>
        <w:t xml:space="preserve"> Memorandum, “Updated Model jury Instructions on Social Media and Other Communications” from Judge Audrey G. Fleissig, Chair, Committee on Court Administration and Case Management (Sept. 1, 2020),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Judiciary Responses to Foreign State Efforts to Undermine the Courts (ao.dcn)</w:t>
        </w:r>
      </w:hyperlink>
      <w:r w:rsidRPr="00053557">
        <w:rPr>
          <w:rStyle w:val="Hyperlink"/>
          <w:rFonts w:cs="Times New Roman"/>
          <w:color w:val="auto"/>
        </w:rPr>
        <w:t>;</w:t>
      </w:r>
      <w:r w:rsidRPr="009D2686">
        <w:rPr>
          <w:rFonts w:cs="Times New Roman"/>
          <w:color w:val="000000" w:themeColor="text1"/>
        </w:rPr>
        <w:t xml:space="preserve"> “</w:t>
      </w:r>
      <w:r w:rsidRPr="009D2686">
        <w:rPr>
          <w:rFonts w:cs="Times New Roman"/>
          <w:bCs/>
          <w:color w:val="000000" w:themeColor="text1"/>
        </w:rPr>
        <w:t>Strategies for Preventing Jurors’ Use of Social Media During Trials and Deliberations” in</w:t>
      </w:r>
      <w:r w:rsidRPr="009D2686">
        <w:rPr>
          <w:rFonts w:cs="Times New Roman"/>
          <w:color w:val="000000" w:themeColor="text1"/>
        </w:rPr>
        <w:t xml:space="preserve"> </w:t>
      </w:r>
      <w:r w:rsidRPr="009D2686">
        <w:rPr>
          <w:rStyle w:val="italic"/>
          <w:rFonts w:cs="Times New Roman"/>
          <w:color w:val="000000" w:themeColor="text1"/>
        </w:rPr>
        <w:t>Jurors’ Use of Social Media During Trials and Deliberations: A Report to the Judicial Conference Committee on Court Administration and Case Management</w:t>
      </w:r>
      <w:r w:rsidRPr="009D2686">
        <w:rPr>
          <w:rFonts w:cs="Times New Roman"/>
          <w:iCs/>
          <w:color w:val="000000" w:themeColor="text1"/>
        </w:rPr>
        <w:t xml:space="preserve"> </w:t>
      </w:r>
      <w:r w:rsidRPr="009D2686">
        <w:rPr>
          <w:rFonts w:cs="Times New Roman"/>
          <w:bCs/>
          <w:color w:val="000000" w:themeColor="text1"/>
        </w:rPr>
        <w:t>5–11</w:t>
      </w:r>
      <w:r w:rsidRPr="009D2686">
        <w:rPr>
          <w:rFonts w:cs="Times New Roman"/>
          <w:iCs/>
          <w:color w:val="000000" w:themeColor="text1"/>
        </w:rPr>
        <w:t xml:space="preserve"> (Federal Judicial Center Nov. 22, 2011), </w:t>
      </w:r>
      <w:r w:rsidRPr="009D2686">
        <w:rPr>
          <w:rStyle w:val="italic"/>
          <w:rFonts w:cs="Times New Roman"/>
          <w:color w:val="000000" w:themeColor="text1"/>
        </w:rPr>
        <w:t>available at</w:t>
      </w:r>
      <w:r w:rsidRPr="009D2686">
        <w:rPr>
          <w:rFonts w:cs="Times New Roman"/>
          <w:iCs/>
          <w:color w:val="000000" w:themeColor="text1"/>
        </w:rPr>
        <w:t xml:space="preserve"> </w:t>
      </w:r>
      <w:hyperlink r:id="rId2" w:history="1">
        <w:r w:rsidRPr="0048181A">
          <w:rPr>
            <w:rStyle w:val="Hyperlink"/>
            <w:rFonts w:cs="Times New Roman"/>
            <w:color w:val="0070C0"/>
          </w:rPr>
          <w:t>Jurors’ Use of Social Media (fjc.dcn)</w:t>
        </w:r>
      </w:hyperlink>
      <w:r w:rsidRPr="009D2686">
        <w:rPr>
          <w:rFonts w:cs="Times New Roman"/>
          <w:iCs/>
          <w:color w:val="000000" w:themeColor="text1"/>
        </w:rPr>
        <w:t>.</w:t>
      </w:r>
      <w:bookmarkEnd w:id="1"/>
      <w:r>
        <w:rPr>
          <w:rFonts w:cs="Times New Roman"/>
          <w:iCs/>
          <w:color w:val="000000" w:themeColor="text1"/>
        </w:rPr>
        <w:t xml:space="preserve"> </w:t>
      </w:r>
    </w:p>
  </w:footnote>
  <w:footnote w:id="2">
    <w:p w14:paraId="6E675E0C" w14:textId="77777777" w:rsidR="0062612E" w:rsidRPr="009D2686" w:rsidRDefault="0062612E" w:rsidP="0062612E">
      <w:pPr>
        <w:pStyle w:val="footnotesnew"/>
        <w:rPr>
          <w:rFonts w:cs="Times New Roman"/>
          <w:color w:val="000000" w:themeColor="text1"/>
        </w:rPr>
      </w:pPr>
      <w:r w:rsidRPr="009D2686">
        <w:rPr>
          <w:rStyle w:val="FootnoteReference"/>
          <w:rFonts w:cs="Times New Roman"/>
          <w:color w:val="000000" w:themeColor="text1"/>
          <w:sz w:val="18"/>
          <w:szCs w:val="18"/>
        </w:rPr>
        <w:footnoteRef/>
      </w:r>
      <w:r w:rsidRPr="009D2686">
        <w:rPr>
          <w:rFonts w:cs="Times New Roman"/>
          <w:color w:val="000000" w:themeColor="text1"/>
        </w:rPr>
        <w:t xml:space="preserve"> Judges may provide instructions before or after closing arguments, or both. </w:t>
      </w:r>
      <w:r w:rsidRPr="009D2686">
        <w:rPr>
          <w:rStyle w:val="italic"/>
          <w:rFonts w:cs="Times New Roman"/>
          <w:color w:val="000000" w:themeColor="text1"/>
        </w:rPr>
        <w:t>See</w:t>
      </w:r>
      <w:r w:rsidRPr="009D2686">
        <w:rPr>
          <w:rFonts w:cs="Times New Roman"/>
          <w:color w:val="000000" w:themeColor="text1"/>
        </w:rPr>
        <w:t xml:space="preserve"> Fed. R. Crim. P. 30(c).</w:t>
      </w:r>
    </w:p>
  </w:footnote>
  <w:footnote w:id="3">
    <w:p w14:paraId="0E8FECCC" w14:textId="77777777" w:rsidR="0062612E" w:rsidRPr="009D2686" w:rsidRDefault="0062612E" w:rsidP="0062612E">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See</w:t>
      </w:r>
      <w:r w:rsidRPr="009D2686">
        <w:rPr>
          <w:rFonts w:cs="Times New Roman"/>
          <w:color w:val="000000" w:themeColor="text1"/>
        </w:rPr>
        <w:t xml:space="preserve"> “Proposed Model Jury Instructions,” </w:t>
      </w:r>
      <w:r w:rsidRPr="009D2686">
        <w:rPr>
          <w:rStyle w:val="italic"/>
          <w:rFonts w:cs="Times New Roman"/>
          <w:color w:val="000000" w:themeColor="text1"/>
        </w:rPr>
        <w:t>supra</w:t>
      </w:r>
      <w:r w:rsidRPr="009D2686">
        <w:rPr>
          <w:rFonts w:cs="Times New Roman"/>
          <w:color w:val="000000" w:themeColor="text1"/>
        </w:rPr>
        <w:t xml:space="preserve"> n.1.</w:t>
      </w:r>
    </w:p>
  </w:footnote>
  <w:footnote w:id="4">
    <w:p w14:paraId="427BFA18" w14:textId="77777777" w:rsidR="0062612E" w:rsidRPr="009D2686" w:rsidRDefault="0062612E" w:rsidP="0062612E">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w:t>
      </w:r>
      <w:r w:rsidRPr="009D2686">
        <w:rPr>
          <w:rStyle w:val="italic"/>
          <w:rFonts w:cs="Times New Roman"/>
          <w:color w:val="000000" w:themeColor="text1"/>
        </w:rPr>
        <w:t>Id.</w:t>
      </w:r>
      <w:r w:rsidRPr="009D2686">
        <w:rPr>
          <w:rFonts w:cs="Times New Roman"/>
          <w:color w:val="000000" w:themeColor="text1"/>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2E"/>
    <w:rsid w:val="00011D60"/>
    <w:rsid w:val="00042DE9"/>
    <w:rsid w:val="000D6417"/>
    <w:rsid w:val="00401996"/>
    <w:rsid w:val="00500E09"/>
    <w:rsid w:val="00524EFF"/>
    <w:rsid w:val="00604E80"/>
    <w:rsid w:val="0062612E"/>
    <w:rsid w:val="006C482C"/>
    <w:rsid w:val="007360D6"/>
    <w:rsid w:val="00794757"/>
    <w:rsid w:val="00845A11"/>
    <w:rsid w:val="00B40C72"/>
    <w:rsid w:val="00C25DA8"/>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7B19"/>
  <w15:chartTrackingRefBased/>
  <w15:docId w15:val="{A54951F7-4B95-41AF-B8E2-2B03C45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2E"/>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26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26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12E"/>
    <w:rPr>
      <w:rFonts w:eastAsiaTheme="majorEastAsia" w:cstheme="majorBidi"/>
      <w:color w:val="272727" w:themeColor="text1" w:themeTint="D8"/>
    </w:rPr>
  </w:style>
  <w:style w:type="paragraph" w:styleId="Title">
    <w:name w:val="Title"/>
    <w:basedOn w:val="Normal"/>
    <w:next w:val="Normal"/>
    <w:link w:val="TitleChar"/>
    <w:uiPriority w:val="10"/>
    <w:qFormat/>
    <w:rsid w:val="00626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12E"/>
    <w:pPr>
      <w:spacing w:before="160"/>
      <w:jc w:val="center"/>
    </w:pPr>
    <w:rPr>
      <w:i/>
      <w:iCs/>
      <w:color w:val="404040" w:themeColor="text1" w:themeTint="BF"/>
    </w:rPr>
  </w:style>
  <w:style w:type="character" w:customStyle="1" w:styleId="QuoteChar">
    <w:name w:val="Quote Char"/>
    <w:basedOn w:val="DefaultParagraphFont"/>
    <w:link w:val="Quote"/>
    <w:uiPriority w:val="29"/>
    <w:rsid w:val="0062612E"/>
    <w:rPr>
      <w:i/>
      <w:iCs/>
      <w:color w:val="404040" w:themeColor="text1" w:themeTint="BF"/>
    </w:rPr>
  </w:style>
  <w:style w:type="paragraph" w:styleId="ListParagraph">
    <w:name w:val="List Paragraph"/>
    <w:basedOn w:val="Normal"/>
    <w:uiPriority w:val="34"/>
    <w:qFormat/>
    <w:rsid w:val="0062612E"/>
    <w:pPr>
      <w:ind w:left="720"/>
      <w:contextualSpacing/>
    </w:pPr>
  </w:style>
  <w:style w:type="character" w:styleId="IntenseEmphasis">
    <w:name w:val="Intense Emphasis"/>
    <w:basedOn w:val="DefaultParagraphFont"/>
    <w:uiPriority w:val="21"/>
    <w:qFormat/>
    <w:rsid w:val="0062612E"/>
    <w:rPr>
      <w:i/>
      <w:iCs/>
      <w:color w:val="0F4761" w:themeColor="accent1" w:themeShade="BF"/>
    </w:rPr>
  </w:style>
  <w:style w:type="paragraph" w:styleId="IntenseQuote">
    <w:name w:val="Intense Quote"/>
    <w:basedOn w:val="Normal"/>
    <w:next w:val="Normal"/>
    <w:link w:val="IntenseQuoteChar"/>
    <w:uiPriority w:val="30"/>
    <w:qFormat/>
    <w:rsid w:val="00626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12E"/>
    <w:rPr>
      <w:i/>
      <w:iCs/>
      <w:color w:val="0F4761" w:themeColor="accent1" w:themeShade="BF"/>
    </w:rPr>
  </w:style>
  <w:style w:type="character" w:styleId="IntenseReference">
    <w:name w:val="Intense Reference"/>
    <w:basedOn w:val="DefaultParagraphFont"/>
    <w:uiPriority w:val="32"/>
    <w:qFormat/>
    <w:rsid w:val="0062612E"/>
    <w:rPr>
      <w:b/>
      <w:bCs/>
      <w:smallCaps/>
      <w:color w:val="0F4761" w:themeColor="accent1" w:themeShade="BF"/>
      <w:spacing w:val="5"/>
    </w:rPr>
  </w:style>
  <w:style w:type="character" w:styleId="FootnoteReference">
    <w:name w:val="footnote reference"/>
    <w:uiPriority w:val="99"/>
    <w:unhideWhenUsed/>
    <w:rsid w:val="0062612E"/>
    <w:rPr>
      <w:rFonts w:ascii="Times New Roman" w:hAnsi="Times New Roman"/>
      <w:vertAlign w:val="superscript"/>
    </w:rPr>
  </w:style>
  <w:style w:type="character" w:styleId="Hyperlink">
    <w:name w:val="Hyperlink"/>
    <w:uiPriority w:val="99"/>
    <w:unhideWhenUsed/>
    <w:rsid w:val="0062612E"/>
    <w:rPr>
      <w:rFonts w:ascii="Times New Roman" w:hAnsi="Times New Roman"/>
      <w:color w:val="0563C1"/>
      <w:u w:val="single"/>
    </w:rPr>
  </w:style>
  <w:style w:type="character" w:customStyle="1" w:styleId="italic">
    <w:name w:val="italic"/>
    <w:uiPriority w:val="1"/>
    <w:qFormat/>
    <w:rsid w:val="0062612E"/>
    <w:rPr>
      <w:rFonts w:ascii="Times New Roman" w:hAnsi="Times New Roman"/>
      <w:i/>
      <w:color w:val="FF0000"/>
    </w:rPr>
  </w:style>
  <w:style w:type="paragraph" w:customStyle="1" w:styleId="footnotesnew">
    <w:name w:val="footnotesnew"/>
    <w:basedOn w:val="FootnoteText"/>
    <w:qFormat/>
    <w:rsid w:val="0062612E"/>
    <w:pPr>
      <w:keepLines/>
      <w:spacing w:afterLines="20" w:after="48"/>
      <w:ind w:firstLine="360"/>
      <w:jc w:val="both"/>
    </w:pPr>
    <w:rPr>
      <w:rFonts w:ascii="Times New Roman" w:hAnsi="Times New Roman" w:cs="Calibri"/>
    </w:rPr>
  </w:style>
  <w:style w:type="paragraph" w:customStyle="1" w:styleId="Colloquytext">
    <w:name w:val="Colloquy text"/>
    <w:basedOn w:val="Normal"/>
    <w:uiPriority w:val="99"/>
    <w:rsid w:val="0062612E"/>
    <w:pPr>
      <w:autoSpaceDE w:val="0"/>
      <w:autoSpaceDN w:val="0"/>
      <w:spacing w:after="0" w:line="260" w:lineRule="atLeast"/>
      <w:jc w:val="both"/>
    </w:pPr>
    <w:rPr>
      <w:rFonts w:ascii="ITC Legacy Sans Medium" w:eastAsia="Times" w:hAnsi="ITC Legacy Sans Medium" w:cs="ITC Legacy Sans Medium"/>
      <w:kern w:val="0"/>
      <w:sz w:val="24"/>
      <w:szCs w:val="24"/>
    </w:rPr>
  </w:style>
  <w:style w:type="paragraph" w:customStyle="1" w:styleId="Colloquytextlist">
    <w:name w:val="Colloquy text list"/>
    <w:basedOn w:val="Normal"/>
    <w:uiPriority w:val="99"/>
    <w:rsid w:val="0062612E"/>
    <w:pPr>
      <w:autoSpaceDE w:val="0"/>
      <w:autoSpaceDN w:val="0"/>
      <w:spacing w:before="60" w:after="0" w:line="260" w:lineRule="atLeast"/>
      <w:ind w:left="720" w:hanging="360"/>
      <w:jc w:val="both"/>
    </w:pPr>
    <w:rPr>
      <w:rFonts w:ascii="ITC Legacy Sans Medium" w:eastAsia="Times" w:hAnsi="ITC Legacy Sans Medium" w:cs="ITC Legacy Sans Medium"/>
      <w:kern w:val="0"/>
      <w:sz w:val="24"/>
      <w:szCs w:val="24"/>
    </w:rPr>
  </w:style>
  <w:style w:type="paragraph" w:styleId="FootnoteText">
    <w:name w:val="footnote text"/>
    <w:basedOn w:val="Normal"/>
    <w:link w:val="FootnoteTextChar"/>
    <w:uiPriority w:val="99"/>
    <w:semiHidden/>
    <w:unhideWhenUsed/>
    <w:rsid w:val="006261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12E"/>
    <w:rPr>
      <w:rFonts w:ascii="Calibri" w:eastAsia="Calibri" w:hAnsi="Calibri" w:cs="Times New Roman"/>
      <w:sz w:val="20"/>
      <w:szCs w:val="20"/>
      <w14:ligatures w14:val="none"/>
    </w:rPr>
  </w:style>
  <w:style w:type="paragraph" w:styleId="Header">
    <w:name w:val="header"/>
    <w:basedOn w:val="Normal"/>
    <w:link w:val="HeaderChar"/>
    <w:uiPriority w:val="99"/>
    <w:unhideWhenUsed/>
    <w:rsid w:val="00C2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A8"/>
    <w:rPr>
      <w:rFonts w:ascii="Calibri" w:eastAsia="Calibri" w:hAnsi="Calibri" w:cs="Times New Roman"/>
      <w:sz w:val="22"/>
      <w:szCs w:val="22"/>
    </w:rPr>
  </w:style>
  <w:style w:type="paragraph" w:styleId="Footer">
    <w:name w:val="footer"/>
    <w:basedOn w:val="Normal"/>
    <w:link w:val="FooterChar"/>
    <w:uiPriority w:val="99"/>
    <w:unhideWhenUsed/>
    <w:rsid w:val="00C2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A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jc.dcn/sites/default/files/2012/DunnJuror.pdf" TargetMode="External"/><Relationship Id="rId1" Type="http://schemas.openxmlformats.org/officeDocument/2006/relationships/hyperlink" Target="https://jnet.ao.dcn/sites/default/files/pdf/DIR20-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Federal Judicial Center</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3</cp:revision>
  <dcterms:created xsi:type="dcterms:W3CDTF">2025-12-12T15:49:00Z</dcterms:created>
  <dcterms:modified xsi:type="dcterms:W3CDTF">2025-12-12T15:53:00Z</dcterms:modified>
</cp:coreProperties>
</file>